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8E" w:rsidRDefault="00DC609A" w:rsidP="00B23AB6">
      <w:pPr>
        <w:spacing w:before="120" w:after="120" w:line="360" w:lineRule="auto"/>
        <w:jc w:val="both"/>
        <w:rPr>
          <w:rFonts w:ascii="Times New Roman" w:hAnsi="Times New Roman"/>
          <w:b/>
        </w:rPr>
      </w:pPr>
      <w:r>
        <w:rPr>
          <w:rFonts w:ascii="Times New Roman" w:hAnsi="Times New Roman"/>
          <w:b/>
          <w:lang w:val="pt-BR"/>
        </w:rPr>
        <w:t xml:space="preserve">                   </w:t>
      </w:r>
      <w:r w:rsidR="00313F8E">
        <w:rPr>
          <w:rFonts w:ascii="Times New Roman" w:hAnsi="Times New Roman"/>
          <w:b/>
          <w:lang w:val="pt-BR"/>
        </w:rPr>
        <w:t xml:space="preserve"> </w:t>
      </w:r>
      <w:r w:rsidR="00313F8E" w:rsidRPr="00F02BF8">
        <w:rPr>
          <w:rFonts w:ascii="Times New Roman" w:hAnsi="Times New Roman"/>
          <w:b/>
          <w:lang w:val="pt-BR"/>
        </w:rPr>
        <w:t>Bài 20: HƠI NƯỚC TRONG KHÔNG KHÍ.</w:t>
      </w:r>
      <w:r w:rsidR="0082661D">
        <w:rPr>
          <w:rFonts w:ascii="Times New Roman" w:hAnsi="Times New Roman"/>
          <w:b/>
          <w:lang w:val="pt-BR"/>
        </w:rPr>
        <w:t xml:space="preserve"> </w:t>
      </w:r>
      <w:r w:rsidR="00313F8E" w:rsidRPr="00F02BF8">
        <w:rPr>
          <w:rFonts w:ascii="Times New Roman" w:hAnsi="Times New Roman"/>
          <w:b/>
        </w:rPr>
        <w:t>MƯA</w:t>
      </w:r>
    </w:p>
    <w:p w:rsidR="00313F8E" w:rsidRDefault="00313F8E" w:rsidP="00B23AB6">
      <w:pPr>
        <w:spacing w:before="120" w:after="120" w:line="360" w:lineRule="auto"/>
        <w:rPr>
          <w:rFonts w:ascii="Times New Roman" w:hAnsi="Times New Roman"/>
        </w:rPr>
      </w:pPr>
      <w:r>
        <w:rPr>
          <w:rFonts w:ascii="Times New Roman" w:hAnsi="Times New Roman"/>
        </w:rPr>
        <w:t xml:space="preserve">     </w:t>
      </w:r>
      <w:r w:rsidRPr="00F02BF8">
        <w:rPr>
          <w:rFonts w:ascii="Times New Roman" w:hAnsi="Times New Roman"/>
        </w:rPr>
        <w:t>- GV:Hơi nước là thành phần chiếm 1 tỉ lệ nhỏ trong không khí nhưng nó lại là nguồn gốc sinh ra các hiện tượng khí quyển:mây,mưa…</w:t>
      </w:r>
    </w:p>
    <w:p w:rsidR="005E5382" w:rsidRPr="005E5382" w:rsidRDefault="005E5382" w:rsidP="00B23AB6">
      <w:pPr>
        <w:spacing w:before="120" w:after="120" w:line="360" w:lineRule="auto"/>
        <w:rPr>
          <w:rFonts w:ascii="Times New Roman" w:hAnsi="Times New Roman"/>
          <w:b/>
        </w:rPr>
      </w:pPr>
      <w:r w:rsidRPr="00783E9D">
        <w:rPr>
          <w:rFonts w:ascii="Times New Roman" w:hAnsi="Times New Roman"/>
          <w:b/>
        </w:rPr>
        <w:t>I</w:t>
      </w:r>
      <w:r>
        <w:rPr>
          <w:rFonts w:ascii="Times New Roman" w:hAnsi="Times New Roman"/>
        </w:rPr>
        <w:t xml:space="preserve">. </w:t>
      </w:r>
      <w:r w:rsidR="006C1287">
        <w:rPr>
          <w:rFonts w:ascii="Times New Roman" w:hAnsi="Times New Roman"/>
          <w:b/>
        </w:rPr>
        <w:t>NỘI DNG CHÍNH (</w:t>
      </w:r>
      <w:r w:rsidR="00555986">
        <w:rPr>
          <w:rFonts w:ascii="Times New Roman" w:hAnsi="Times New Roman"/>
          <w:b/>
        </w:rPr>
        <w:t>Phần các em chép vào tập</w:t>
      </w:r>
      <w:r>
        <w:rPr>
          <w:rFonts w:ascii="Times New Roman" w:hAnsi="Times New Roman"/>
          <w:b/>
        </w:rPr>
        <w:t>)</w:t>
      </w:r>
    </w:p>
    <w:p w:rsidR="00313F8E" w:rsidRPr="00F02BF8" w:rsidRDefault="00313F8E" w:rsidP="00B23AB6">
      <w:pPr>
        <w:spacing w:before="120" w:after="120" w:line="360" w:lineRule="auto"/>
        <w:jc w:val="both"/>
        <w:rPr>
          <w:rFonts w:ascii="Times New Roman" w:hAnsi="Times New Roman"/>
          <w:b/>
          <w:u w:val="single"/>
        </w:rPr>
      </w:pPr>
      <w:r w:rsidRPr="00F02BF8">
        <w:rPr>
          <w:rFonts w:ascii="Times New Roman" w:hAnsi="Times New Roman"/>
          <w:b/>
          <w:u w:val="single"/>
        </w:rPr>
        <w:t xml:space="preserve">1. </w:t>
      </w:r>
      <w:r w:rsidRPr="00F02BF8">
        <w:rPr>
          <w:rFonts w:ascii="Times New Roman" w:hAnsi="Times New Roman"/>
          <w:b/>
          <w:bCs/>
          <w:u w:val="single"/>
        </w:rPr>
        <w:t>Hơi nước và độ ẩm không khí</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rPr>
        <w:t>- Nguồn cung cấp chính hơi nước trong không khí l</w:t>
      </w:r>
      <w:r>
        <w:rPr>
          <w:rFonts w:ascii="Times New Roman" w:hAnsi="Times New Roman"/>
        </w:rPr>
        <w:t>à nước trong biển và đại dương.</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rPr>
        <w:t>- Không khí bao giờ cũng chứa một lượng hơi nước nhất định, lượng hơi nước</w:t>
      </w:r>
      <w:r>
        <w:rPr>
          <w:rFonts w:ascii="Times New Roman" w:hAnsi="Times New Roman"/>
        </w:rPr>
        <w:t xml:space="preserve"> đó làm cho không khí có độ ẩm.</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rPr>
        <w:t xml:space="preserve">- Dụng cụ để </w:t>
      </w:r>
      <w:r>
        <w:rPr>
          <w:rFonts w:ascii="Times New Roman" w:hAnsi="Times New Roman"/>
        </w:rPr>
        <w:t>đo độ ẩm của không khí là ẩm kế</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b/>
        </w:rPr>
        <w:t>- Sự ngưng tụ</w:t>
      </w:r>
      <w:r w:rsidRPr="00F02BF8">
        <w:rPr>
          <w:rFonts w:ascii="Times New Roman" w:hAnsi="Times New Roman"/>
        </w:rPr>
        <w:t xml:space="preserve">: Không khí bão hòa, hơi nước gặp lạnh do bốc lên cao hoặc gặp khối khí lạnh thì lượng hơi nước thừa trong không khí sẽ ngưng </w:t>
      </w:r>
      <w:r>
        <w:rPr>
          <w:rFonts w:ascii="Times New Roman" w:hAnsi="Times New Roman"/>
        </w:rPr>
        <w:t>tụ sinh ra hiện tượng mây, mưa.</w:t>
      </w:r>
    </w:p>
    <w:p w:rsidR="00313F8E" w:rsidRPr="00F02BF8" w:rsidRDefault="00313F8E" w:rsidP="00B23AB6">
      <w:pPr>
        <w:tabs>
          <w:tab w:val="left" w:pos="3960"/>
        </w:tabs>
        <w:spacing w:before="120" w:after="120" w:line="360" w:lineRule="auto"/>
        <w:jc w:val="both"/>
        <w:rPr>
          <w:rFonts w:ascii="Times New Roman" w:hAnsi="Times New Roman"/>
          <w:b/>
          <w:bCs/>
          <w:u w:val="single"/>
        </w:rPr>
      </w:pPr>
      <w:r w:rsidRPr="00F02BF8">
        <w:rPr>
          <w:rFonts w:ascii="Times New Roman" w:hAnsi="Times New Roman"/>
          <w:b/>
          <w:u w:val="single"/>
        </w:rPr>
        <w:t>2.</w:t>
      </w:r>
      <w:r w:rsidRPr="00F02BF8">
        <w:rPr>
          <w:rFonts w:ascii="Times New Roman" w:hAnsi="Times New Roman"/>
          <w:b/>
          <w:bCs/>
          <w:u w:val="single"/>
        </w:rPr>
        <w:t xml:space="preserve"> Mây và sự phân bố lượng mưa trên TĐ</w:t>
      </w:r>
    </w:p>
    <w:p w:rsidR="00313F8E" w:rsidRPr="00313F8E" w:rsidRDefault="00313F8E" w:rsidP="00B23AB6">
      <w:pPr>
        <w:spacing w:before="120" w:after="120" w:line="360" w:lineRule="auto"/>
        <w:jc w:val="both"/>
        <w:rPr>
          <w:rFonts w:ascii="Times New Roman" w:hAnsi="Times New Roman"/>
          <w:b/>
          <w:bCs/>
        </w:rPr>
      </w:pPr>
      <w:r>
        <w:rPr>
          <w:rFonts w:ascii="Times New Roman" w:hAnsi="Times New Roman"/>
          <w:b/>
          <w:bCs/>
        </w:rPr>
        <w:t>a. Quá trình tạo thành mây, mưa</w:t>
      </w:r>
    </w:p>
    <w:p w:rsidR="00313F8E" w:rsidRPr="00F02BF8" w:rsidRDefault="00313F8E" w:rsidP="00B23AB6">
      <w:pPr>
        <w:pStyle w:val="BodyText"/>
        <w:spacing w:before="120" w:line="360" w:lineRule="auto"/>
        <w:jc w:val="both"/>
        <w:rPr>
          <w:rFonts w:ascii="Times New Roman" w:hAnsi="Times New Roman"/>
        </w:rPr>
      </w:pPr>
      <w:r w:rsidRPr="00F02BF8">
        <w:rPr>
          <w:rFonts w:ascii="Times New Roman" w:hAnsi="Times New Roman"/>
        </w:rPr>
        <w:t>- Khi không khí bốc lên cao, bị lạnh dần, hơi nước sẽ ngưng tụ thành các hạt nước nhỏ, tạo thành mây. Gặp điều kiện thuận lợi, hơi nước tiếp tục ngưng tụ, làm các hạt nước to dần</w:t>
      </w:r>
      <w:r>
        <w:rPr>
          <w:rFonts w:ascii="Times New Roman" w:hAnsi="Times New Roman"/>
        </w:rPr>
        <w:t xml:space="preserve">, rồi rơi xuống đất thành mưa. </w:t>
      </w:r>
    </w:p>
    <w:p w:rsidR="00313F8E" w:rsidRPr="00F02BF8" w:rsidRDefault="00313F8E" w:rsidP="00B23AB6">
      <w:pPr>
        <w:spacing w:before="120" w:after="120" w:line="360" w:lineRule="auto"/>
        <w:jc w:val="both"/>
        <w:rPr>
          <w:rFonts w:ascii="Times New Roman" w:hAnsi="Times New Roman"/>
          <w:b/>
          <w:bCs/>
        </w:rPr>
      </w:pPr>
      <w:r w:rsidRPr="00F02BF8">
        <w:rPr>
          <w:rFonts w:ascii="Times New Roman" w:hAnsi="Times New Roman"/>
          <w:b/>
          <w:bCs/>
        </w:rPr>
        <w:t>b.Cách tính lượng mưa</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rPr>
        <w:t>- Dùng dụng cụ</w:t>
      </w:r>
      <w:r>
        <w:rPr>
          <w:rFonts w:ascii="Times New Roman" w:hAnsi="Times New Roman"/>
        </w:rPr>
        <w:t xml:space="preserve"> đo mưa là vũ kế (thùng đo mưa)</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b/>
          <w:bCs/>
        </w:rPr>
        <w:t>- Lượng mưa tb năm=</w:t>
      </w:r>
      <w:r w:rsidRPr="00F02BF8">
        <w:rPr>
          <w:rFonts w:ascii="Times New Roman" w:hAnsi="Times New Roman"/>
        </w:rPr>
        <w:t xml:space="preserve"> tổng lượng mưa nhiều năm/ s</w:t>
      </w:r>
      <w:r>
        <w:rPr>
          <w:rFonts w:ascii="Times New Roman" w:hAnsi="Times New Roman"/>
        </w:rPr>
        <w:t>ố năm</w:t>
      </w:r>
    </w:p>
    <w:p w:rsidR="00313F8E" w:rsidRPr="00F02BF8" w:rsidRDefault="00313F8E" w:rsidP="00B23AB6">
      <w:pPr>
        <w:spacing w:before="120" w:after="120" w:line="360" w:lineRule="auto"/>
        <w:jc w:val="both"/>
        <w:rPr>
          <w:rFonts w:ascii="Times New Roman" w:hAnsi="Times New Roman"/>
          <w:b/>
          <w:bCs/>
        </w:rPr>
      </w:pPr>
      <w:r w:rsidRPr="00F02BF8">
        <w:rPr>
          <w:rFonts w:ascii="Times New Roman" w:hAnsi="Times New Roman"/>
          <w:b/>
          <w:bCs/>
        </w:rPr>
        <w:t>c.Sự p</w:t>
      </w:r>
      <w:r>
        <w:rPr>
          <w:rFonts w:ascii="Times New Roman" w:hAnsi="Times New Roman"/>
          <w:b/>
          <w:bCs/>
        </w:rPr>
        <w:t xml:space="preserve">hân bố lượng mưa trên thế giới </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b/>
          <w:bCs/>
        </w:rPr>
        <w:t xml:space="preserve">- </w:t>
      </w:r>
      <w:r w:rsidRPr="00F02BF8">
        <w:rPr>
          <w:rFonts w:ascii="Times New Roman" w:hAnsi="Times New Roman"/>
        </w:rPr>
        <w:t>Lượng mưa trên thế giới phân bố không đều từ xích đạo lên cực</w:t>
      </w:r>
    </w:p>
    <w:p w:rsidR="00313F8E" w:rsidRPr="00F02BF8" w:rsidRDefault="00313F8E" w:rsidP="00B23AB6">
      <w:pPr>
        <w:spacing w:before="120" w:after="120" w:line="360" w:lineRule="auto"/>
        <w:jc w:val="both"/>
        <w:rPr>
          <w:rFonts w:ascii="Times New Roman" w:hAnsi="Times New Roman"/>
        </w:rPr>
      </w:pPr>
      <w:r w:rsidRPr="00F02BF8">
        <w:rPr>
          <w:rFonts w:ascii="Times New Roman" w:hAnsi="Times New Roman"/>
        </w:rPr>
        <w:lastRenderedPageBreak/>
        <w:t xml:space="preserve">   + Khu vực mưa nhiều t</w:t>
      </w:r>
      <w:r>
        <w:rPr>
          <w:rFonts w:ascii="Times New Roman" w:hAnsi="Times New Roman"/>
        </w:rPr>
        <w:t>ừ 1000-2000mm phân bố ở 2 bên x/đạo</w:t>
      </w:r>
    </w:p>
    <w:p w:rsidR="00313F8E" w:rsidRDefault="00313F8E" w:rsidP="00B23AB6">
      <w:pPr>
        <w:spacing w:before="120" w:after="120" w:line="360" w:lineRule="auto"/>
        <w:jc w:val="both"/>
        <w:rPr>
          <w:rFonts w:ascii="Times New Roman" w:hAnsi="Times New Roman"/>
        </w:rPr>
      </w:pPr>
      <w:r w:rsidRPr="00F02BF8">
        <w:rPr>
          <w:rFonts w:ascii="Times New Roman" w:hAnsi="Times New Roman"/>
        </w:rPr>
        <w:t xml:space="preserve">   + Khu vực ít mưa&lt; 200mm ở vùng có vĩ độ cao, nằm giữa vĩ tuyến 30-40 độ ở 2 nửa cầu</w:t>
      </w:r>
    </w:p>
    <w:p w:rsidR="005E5382" w:rsidRPr="00BC25A3" w:rsidRDefault="00783E9D" w:rsidP="00B23AB6">
      <w:pPr>
        <w:spacing w:before="120" w:after="120" w:line="360" w:lineRule="auto"/>
        <w:jc w:val="both"/>
        <w:rPr>
          <w:rFonts w:ascii="Times New Roman" w:hAnsi="Times New Roman"/>
          <w:b/>
          <w:u w:val="single"/>
        </w:rPr>
      </w:pPr>
      <w:r w:rsidRPr="00BC25A3">
        <w:rPr>
          <w:rFonts w:ascii="Times New Roman" w:hAnsi="Times New Roman"/>
          <w:b/>
          <w:u w:val="single"/>
        </w:rPr>
        <w:t xml:space="preserve">II. CÂU HỎI </w:t>
      </w:r>
    </w:p>
    <w:p w:rsidR="00783E9D" w:rsidRDefault="00783E9D" w:rsidP="00B23AB6">
      <w:pPr>
        <w:spacing w:before="120" w:after="120" w:line="360" w:lineRule="auto"/>
        <w:jc w:val="both"/>
        <w:rPr>
          <w:rFonts w:ascii="Times New Roman" w:hAnsi="Times New Roman"/>
        </w:rPr>
      </w:pPr>
      <w:r>
        <w:rPr>
          <w:rFonts w:ascii="Times New Roman" w:hAnsi="Times New Roman"/>
        </w:rPr>
        <w:t>Câu 1: trình bày hơi nước và độ ẩm của không khí ?</w:t>
      </w:r>
    </w:p>
    <w:p w:rsidR="00BC25A3" w:rsidRDefault="00783E9D" w:rsidP="00B23AB6">
      <w:pPr>
        <w:spacing w:before="120" w:after="120" w:line="360" w:lineRule="auto"/>
        <w:jc w:val="both"/>
        <w:rPr>
          <w:rFonts w:ascii="Times New Roman" w:hAnsi="Times New Roman"/>
        </w:rPr>
      </w:pPr>
      <w:r>
        <w:rPr>
          <w:rFonts w:ascii="Times New Roman" w:hAnsi="Times New Roman"/>
        </w:rPr>
        <w:t>Câu 2: trình b</w:t>
      </w:r>
      <w:r w:rsidR="00974706">
        <w:rPr>
          <w:rFonts w:ascii="Times New Roman" w:hAnsi="Times New Roman"/>
        </w:rPr>
        <w:t>ày quá trình tạo thành mây, mưa</w:t>
      </w:r>
    </w:p>
    <w:p w:rsidR="00A45296" w:rsidRDefault="00A45296" w:rsidP="00B23AB6">
      <w:pPr>
        <w:spacing w:before="120" w:after="120" w:line="360" w:lineRule="auto"/>
        <w:jc w:val="both"/>
        <w:rPr>
          <w:rFonts w:ascii="Times New Roman" w:hAnsi="Times New Roman"/>
        </w:rPr>
      </w:pPr>
      <w:r>
        <w:rPr>
          <w:rFonts w:ascii="Times New Roman" w:hAnsi="Times New Roman"/>
        </w:rPr>
        <w:t xml:space="preserve">Câu 3: Bài tập </w:t>
      </w:r>
    </w:p>
    <w:p w:rsidR="00A45296" w:rsidRDefault="00A45296" w:rsidP="00A45296">
      <w:pPr>
        <w:spacing w:before="120" w:after="120" w:line="360" w:lineRule="auto"/>
        <w:jc w:val="both"/>
        <w:rPr>
          <w:rFonts w:ascii="Times New Roman" w:hAnsi="Times New Roman"/>
          <w:b/>
          <w:bCs/>
        </w:rPr>
      </w:pPr>
      <w:r>
        <w:rPr>
          <w:rFonts w:ascii="Times New Roman" w:hAnsi="Times New Roman"/>
          <w:b/>
          <w:bCs/>
        </w:rPr>
        <w:t xml:space="preserve">      </w:t>
      </w:r>
      <w:r w:rsidRPr="00A45296">
        <w:rPr>
          <w:rFonts w:ascii="Times New Roman" w:hAnsi="Times New Roman"/>
          <w:b/>
          <w:bCs/>
        </w:rPr>
        <w:t>Lượng mưa (mm) của TP.Hồ Chí Minh</w:t>
      </w:r>
    </w:p>
    <w:tbl>
      <w:tblPr>
        <w:tblW w:w="10131" w:type="dxa"/>
        <w:tblInd w:w="-449" w:type="dxa"/>
        <w:tblCellMar>
          <w:left w:w="0" w:type="dxa"/>
          <w:right w:w="0" w:type="dxa"/>
        </w:tblCellMar>
        <w:tblLook w:val="0600" w:firstRow="0" w:lastRow="0" w:firstColumn="0" w:lastColumn="0" w:noHBand="1" w:noVBand="1"/>
      </w:tblPr>
      <w:tblGrid>
        <w:gridCol w:w="1419"/>
        <w:gridCol w:w="633"/>
        <w:gridCol w:w="567"/>
        <w:gridCol w:w="567"/>
        <w:gridCol w:w="708"/>
        <w:gridCol w:w="851"/>
        <w:gridCol w:w="709"/>
        <w:gridCol w:w="708"/>
        <w:gridCol w:w="709"/>
        <w:gridCol w:w="851"/>
        <w:gridCol w:w="850"/>
        <w:gridCol w:w="851"/>
        <w:gridCol w:w="708"/>
      </w:tblGrid>
      <w:tr w:rsidR="00A45296" w:rsidRPr="00A45296" w:rsidTr="00A45296">
        <w:trPr>
          <w:trHeight w:val="800"/>
        </w:trPr>
        <w:tc>
          <w:tcPr>
            <w:tcW w:w="141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Tháng</w:t>
            </w:r>
          </w:p>
        </w:tc>
        <w:tc>
          <w:tcPr>
            <w:tcW w:w="633"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w:t>
            </w:r>
          </w:p>
        </w:tc>
        <w:tc>
          <w:tcPr>
            <w:tcW w:w="567"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2</w:t>
            </w:r>
          </w:p>
        </w:tc>
        <w:tc>
          <w:tcPr>
            <w:tcW w:w="567"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3</w:t>
            </w:r>
          </w:p>
        </w:tc>
        <w:tc>
          <w:tcPr>
            <w:tcW w:w="708"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4</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5</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6</w:t>
            </w:r>
          </w:p>
        </w:tc>
        <w:tc>
          <w:tcPr>
            <w:tcW w:w="708"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7</w:t>
            </w:r>
          </w:p>
        </w:tc>
        <w:tc>
          <w:tcPr>
            <w:tcW w:w="709"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8</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9</w:t>
            </w:r>
          </w:p>
        </w:tc>
        <w:tc>
          <w:tcPr>
            <w:tcW w:w="850"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11</w:t>
            </w:r>
          </w:p>
        </w:tc>
        <w:tc>
          <w:tcPr>
            <w:tcW w:w="708" w:type="dxa"/>
            <w:tcBorders>
              <w:top w:val="single" w:sz="18" w:space="0" w:color="000000"/>
              <w:left w:val="single" w:sz="8" w:space="0" w:color="000000"/>
              <w:bottom w:val="single" w:sz="8" w:space="0" w:color="000000"/>
              <w:right w:val="single" w:sz="1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12</w:t>
            </w:r>
          </w:p>
        </w:tc>
      </w:tr>
      <w:tr w:rsidR="00A45296" w:rsidRPr="00A45296" w:rsidTr="00A45296">
        <w:trPr>
          <w:trHeight w:val="1165"/>
        </w:trPr>
        <w:tc>
          <w:tcPr>
            <w:tcW w:w="141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 xml:space="preserve">TP.Hồ </w:t>
            </w:r>
          </w:p>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ChíMinh</w:t>
            </w:r>
          </w:p>
        </w:tc>
        <w:tc>
          <w:tcPr>
            <w:tcW w:w="633"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13,8</w:t>
            </w:r>
          </w:p>
        </w:tc>
        <w:tc>
          <w:tcPr>
            <w:tcW w:w="56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4,1</w:t>
            </w:r>
          </w:p>
        </w:tc>
        <w:tc>
          <w:tcPr>
            <w:tcW w:w="567"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10,5</w:t>
            </w:r>
          </w:p>
        </w:tc>
        <w:tc>
          <w:tcPr>
            <w:tcW w:w="70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50,4</w:t>
            </w: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218,4</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311,7</w:t>
            </w:r>
          </w:p>
        </w:tc>
        <w:tc>
          <w:tcPr>
            <w:tcW w:w="708"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293,7</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269,8</w:t>
            </w: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327,0</w:t>
            </w:r>
          </w:p>
        </w:tc>
        <w:tc>
          <w:tcPr>
            <w:tcW w:w="850"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226,7</w:t>
            </w:r>
          </w:p>
        </w:tc>
        <w:tc>
          <w:tcPr>
            <w:tcW w:w="851" w:type="dxa"/>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116,5</w:t>
            </w:r>
          </w:p>
        </w:tc>
        <w:tc>
          <w:tcPr>
            <w:tcW w:w="708" w:type="dxa"/>
            <w:tcBorders>
              <w:top w:val="single" w:sz="8" w:space="0" w:color="000000"/>
              <w:left w:val="single" w:sz="8" w:space="0" w:color="000000"/>
              <w:bottom w:val="single" w:sz="18" w:space="0" w:color="000000"/>
              <w:right w:val="single" w:sz="18" w:space="0" w:color="000000"/>
            </w:tcBorders>
            <w:shd w:val="clear" w:color="auto" w:fill="auto"/>
            <w:tcMar>
              <w:top w:w="15" w:type="dxa"/>
              <w:left w:w="15" w:type="dxa"/>
              <w:bottom w:w="0" w:type="dxa"/>
              <w:right w:w="15" w:type="dxa"/>
            </w:tcMar>
            <w:vAlign w:val="center"/>
            <w:hideMark/>
          </w:tcPr>
          <w:p w:rsidR="00A45296" w:rsidRPr="00A45296" w:rsidRDefault="00A45296" w:rsidP="00A45296">
            <w:pPr>
              <w:spacing w:before="120" w:after="120" w:line="360" w:lineRule="auto"/>
              <w:jc w:val="both"/>
              <w:rPr>
                <w:rFonts w:ascii="Times New Roman" w:hAnsi="Times New Roman"/>
              </w:rPr>
            </w:pPr>
            <w:r w:rsidRPr="00A45296">
              <w:rPr>
                <w:rFonts w:ascii="Times New Roman" w:hAnsi="Times New Roman"/>
                <w:b/>
                <w:bCs/>
              </w:rPr>
              <w:t>48,3</w:t>
            </w:r>
          </w:p>
        </w:tc>
      </w:tr>
    </w:tbl>
    <w:p w:rsidR="00A45296" w:rsidRDefault="00A45296" w:rsidP="00A45296">
      <w:pPr>
        <w:pStyle w:val="ListParagraph"/>
        <w:numPr>
          <w:ilvl w:val="0"/>
          <w:numId w:val="7"/>
        </w:numPr>
        <w:spacing w:before="120" w:after="120" w:line="360" w:lineRule="auto"/>
        <w:jc w:val="both"/>
        <w:rPr>
          <w:rFonts w:ascii="Times New Roman" w:hAnsi="Times New Roman"/>
        </w:rPr>
      </w:pPr>
      <w:r>
        <w:rPr>
          <w:rFonts w:ascii="Times New Roman" w:hAnsi="Times New Roman"/>
        </w:rPr>
        <w:t>Tính tổng lượng mưa các tháng 5,6,7,8,9,10</w:t>
      </w:r>
    </w:p>
    <w:p w:rsidR="00A45296" w:rsidRPr="00A45296" w:rsidRDefault="00A45296" w:rsidP="00B23AB6">
      <w:pPr>
        <w:pStyle w:val="ListParagraph"/>
        <w:numPr>
          <w:ilvl w:val="0"/>
          <w:numId w:val="7"/>
        </w:numPr>
        <w:spacing w:before="120" w:after="120" w:line="360" w:lineRule="auto"/>
        <w:jc w:val="both"/>
        <w:rPr>
          <w:rFonts w:ascii="Times New Roman" w:hAnsi="Times New Roman"/>
        </w:rPr>
      </w:pPr>
      <w:r>
        <w:rPr>
          <w:rFonts w:ascii="Times New Roman" w:hAnsi="Times New Roman"/>
        </w:rPr>
        <w:t>Tính tổng lượng mưa các tháng 11,12,1,2,3,4</w:t>
      </w:r>
    </w:p>
    <w:p w:rsidR="00A45296" w:rsidRPr="00974706" w:rsidRDefault="00A45296" w:rsidP="00B23AB6">
      <w:pPr>
        <w:spacing w:before="120" w:after="120" w:line="360" w:lineRule="auto"/>
        <w:jc w:val="both"/>
        <w:rPr>
          <w:rFonts w:ascii="Times New Roman" w:hAnsi="Times New Roman"/>
        </w:rPr>
      </w:pPr>
    </w:p>
    <w:p w:rsidR="00783E9D" w:rsidRPr="00BC25A3" w:rsidRDefault="00783E9D" w:rsidP="00B23AB6">
      <w:pPr>
        <w:spacing w:before="120" w:after="120" w:line="360" w:lineRule="auto"/>
        <w:jc w:val="both"/>
        <w:rPr>
          <w:rFonts w:ascii="Times New Roman" w:hAnsi="Times New Roman"/>
          <w:b/>
          <w:u w:val="single"/>
        </w:rPr>
      </w:pPr>
      <w:r w:rsidRPr="00BC25A3">
        <w:rPr>
          <w:rFonts w:ascii="Times New Roman" w:hAnsi="Times New Roman"/>
          <w:b/>
          <w:u w:val="single"/>
        </w:rPr>
        <w:t>III. DẶN DÒ</w:t>
      </w:r>
    </w:p>
    <w:p w:rsidR="00237EF3" w:rsidRPr="00BC570E" w:rsidRDefault="00783E9D" w:rsidP="00B23AB6">
      <w:pPr>
        <w:spacing w:before="120" w:after="120" w:line="360" w:lineRule="auto"/>
        <w:jc w:val="both"/>
        <w:rPr>
          <w:rFonts w:ascii="Times New Roman" w:hAnsi="Times New Roman"/>
          <w:b/>
        </w:rPr>
      </w:pPr>
      <w:r w:rsidRPr="00BC570E">
        <w:rPr>
          <w:rFonts w:ascii="Times New Roman" w:hAnsi="Times New Roman"/>
        </w:rPr>
        <w:t xml:space="preserve">Các em chép phần nội dung </w:t>
      </w:r>
      <w:r w:rsidR="00237EF3" w:rsidRPr="00BC570E">
        <w:rPr>
          <w:rFonts w:ascii="Times New Roman" w:hAnsi="Times New Roman"/>
        </w:rPr>
        <w:t xml:space="preserve">chính vào tập, làm bài tập 1,2 gởi vào nhóm zalo chậm nhất vào thứ 6 </w:t>
      </w:r>
      <w:r w:rsidR="0082661D" w:rsidRPr="00BC570E">
        <w:rPr>
          <w:rFonts w:ascii="Times New Roman" w:hAnsi="Times New Roman"/>
        </w:rPr>
        <w:t xml:space="preserve">ngày 17/04 </w:t>
      </w:r>
      <w:r w:rsidR="00151316" w:rsidRPr="00BC570E">
        <w:rPr>
          <w:rFonts w:ascii="Times New Roman" w:hAnsi="Times New Roman"/>
        </w:rPr>
        <w:t xml:space="preserve"> xem trước </w:t>
      </w:r>
      <w:r w:rsidR="00151316" w:rsidRPr="00BC570E">
        <w:rPr>
          <w:rFonts w:ascii="Times New Roman" w:hAnsi="Times New Roman"/>
          <w:b/>
        </w:rPr>
        <w:t>BÀI</w:t>
      </w:r>
      <w:r w:rsidR="00237EF3" w:rsidRPr="00BC570E">
        <w:rPr>
          <w:rFonts w:ascii="Times New Roman" w:hAnsi="Times New Roman"/>
          <w:b/>
        </w:rPr>
        <w:t xml:space="preserve"> 21.</w:t>
      </w:r>
      <w:r w:rsidRPr="00BC570E">
        <w:rPr>
          <w:rFonts w:ascii="Times New Roman" w:hAnsi="Times New Roman"/>
          <w:b/>
        </w:rPr>
        <w:t>PHÂN TÍCH  BIỂU ĐỒ  NHIỆT ĐỘ – LƯỢNG MƯA</w:t>
      </w:r>
      <w:r w:rsidR="00237EF3" w:rsidRPr="00BC570E">
        <w:rPr>
          <w:rFonts w:ascii="Times New Roman" w:hAnsi="Times New Roman"/>
          <w:b/>
        </w:rPr>
        <w:t xml:space="preserve"> và BÀI 22: CÁC ĐỚI KHÍ HẬU TRÊN TRÁI ĐẤT</w:t>
      </w:r>
      <w:r w:rsidR="0082661D" w:rsidRPr="00BC570E">
        <w:rPr>
          <w:rFonts w:ascii="Times New Roman" w:hAnsi="Times New Roman"/>
          <w:b/>
        </w:rPr>
        <w:t xml:space="preserve"> </w:t>
      </w:r>
    </w:p>
    <w:p w:rsidR="00237EF3" w:rsidRDefault="00237EF3" w:rsidP="00B23AB6">
      <w:pPr>
        <w:spacing w:line="360" w:lineRule="auto"/>
      </w:pPr>
    </w:p>
    <w:p w:rsidR="00170870" w:rsidRPr="00313F8E" w:rsidRDefault="00170870" w:rsidP="00B23AB6">
      <w:pPr>
        <w:spacing w:line="360" w:lineRule="auto"/>
        <w:rPr>
          <w:rFonts w:ascii="Times New Roman" w:hAnsi="Times New Roman"/>
        </w:rPr>
      </w:pPr>
      <w:bookmarkStart w:id="0" w:name="_GoBack"/>
      <w:bookmarkEnd w:id="0"/>
    </w:p>
    <w:sectPr w:rsidR="00170870" w:rsidRPr="00313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7A04"/>
    <w:multiLevelType w:val="hybridMultilevel"/>
    <w:tmpl w:val="BDC4B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81E03"/>
    <w:multiLevelType w:val="hybridMultilevel"/>
    <w:tmpl w:val="D3FA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34259"/>
    <w:multiLevelType w:val="hybridMultilevel"/>
    <w:tmpl w:val="55342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D005D"/>
    <w:multiLevelType w:val="hybridMultilevel"/>
    <w:tmpl w:val="7766FCDC"/>
    <w:lvl w:ilvl="0" w:tplc="86C6BB7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9B11F5"/>
    <w:multiLevelType w:val="hybridMultilevel"/>
    <w:tmpl w:val="D3FA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D3816"/>
    <w:multiLevelType w:val="hybridMultilevel"/>
    <w:tmpl w:val="BA6EB502"/>
    <w:lvl w:ilvl="0" w:tplc="68DE8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25195"/>
    <w:multiLevelType w:val="hybridMultilevel"/>
    <w:tmpl w:val="285A86F2"/>
    <w:lvl w:ilvl="0" w:tplc="9836E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8E"/>
    <w:rsid w:val="001437F4"/>
    <w:rsid w:val="00151316"/>
    <w:rsid w:val="00170870"/>
    <w:rsid w:val="001E3CB3"/>
    <w:rsid w:val="00234287"/>
    <w:rsid w:val="00237EF3"/>
    <w:rsid w:val="00313F8E"/>
    <w:rsid w:val="003B35F7"/>
    <w:rsid w:val="00492F08"/>
    <w:rsid w:val="00520EE9"/>
    <w:rsid w:val="00555986"/>
    <w:rsid w:val="005E5382"/>
    <w:rsid w:val="005E6D61"/>
    <w:rsid w:val="00627B54"/>
    <w:rsid w:val="00657115"/>
    <w:rsid w:val="00671669"/>
    <w:rsid w:val="006C1287"/>
    <w:rsid w:val="00754241"/>
    <w:rsid w:val="00783E9D"/>
    <w:rsid w:val="0082661D"/>
    <w:rsid w:val="00974706"/>
    <w:rsid w:val="00A352BF"/>
    <w:rsid w:val="00A45296"/>
    <w:rsid w:val="00A55A0F"/>
    <w:rsid w:val="00B23AB6"/>
    <w:rsid w:val="00B41EEE"/>
    <w:rsid w:val="00BB2829"/>
    <w:rsid w:val="00BC25A3"/>
    <w:rsid w:val="00BC570E"/>
    <w:rsid w:val="00CA6FD2"/>
    <w:rsid w:val="00D26BCB"/>
    <w:rsid w:val="00D912E0"/>
    <w:rsid w:val="00DC609A"/>
    <w:rsid w:val="00F35C63"/>
    <w:rsid w:val="00F94FAA"/>
    <w:rsid w:val="00FB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8E"/>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qFormat/>
    <w:rsid w:val="00783E9D"/>
    <w:pPr>
      <w:keepNext/>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13F8E"/>
    <w:pPr>
      <w:spacing w:after="120"/>
    </w:pPr>
  </w:style>
  <w:style w:type="character" w:customStyle="1" w:styleId="BodyTextChar">
    <w:name w:val="Body Text Char"/>
    <w:basedOn w:val="DefaultParagraphFont"/>
    <w:link w:val="BodyText"/>
    <w:uiPriority w:val="99"/>
    <w:rsid w:val="00313F8E"/>
    <w:rPr>
      <w:rFonts w:ascii="VNI-Times" w:eastAsia="Times New Roman" w:hAnsi="VNI-Times" w:cs="Times New Roman"/>
      <w:sz w:val="28"/>
      <w:szCs w:val="28"/>
    </w:rPr>
  </w:style>
  <w:style w:type="character" w:customStyle="1" w:styleId="Heading1Char">
    <w:name w:val="Heading 1 Char"/>
    <w:basedOn w:val="DefaultParagraphFont"/>
    <w:link w:val="Heading1"/>
    <w:rsid w:val="00783E9D"/>
    <w:rPr>
      <w:rFonts w:ascii="Times New Roman" w:eastAsia="Times New Roman" w:hAnsi="Times New Roman" w:cs="Times New Roman"/>
      <w:sz w:val="28"/>
      <w:szCs w:val="24"/>
    </w:rPr>
  </w:style>
  <w:style w:type="paragraph" w:styleId="ListParagraph">
    <w:name w:val="List Paragraph"/>
    <w:basedOn w:val="Normal"/>
    <w:uiPriority w:val="99"/>
    <w:qFormat/>
    <w:rsid w:val="00A55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8E"/>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qFormat/>
    <w:rsid w:val="00783E9D"/>
    <w:pPr>
      <w:keepNext/>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13F8E"/>
    <w:pPr>
      <w:spacing w:after="120"/>
    </w:pPr>
  </w:style>
  <w:style w:type="character" w:customStyle="1" w:styleId="BodyTextChar">
    <w:name w:val="Body Text Char"/>
    <w:basedOn w:val="DefaultParagraphFont"/>
    <w:link w:val="BodyText"/>
    <w:uiPriority w:val="99"/>
    <w:rsid w:val="00313F8E"/>
    <w:rPr>
      <w:rFonts w:ascii="VNI-Times" w:eastAsia="Times New Roman" w:hAnsi="VNI-Times" w:cs="Times New Roman"/>
      <w:sz w:val="28"/>
      <w:szCs w:val="28"/>
    </w:rPr>
  </w:style>
  <w:style w:type="character" w:customStyle="1" w:styleId="Heading1Char">
    <w:name w:val="Heading 1 Char"/>
    <w:basedOn w:val="DefaultParagraphFont"/>
    <w:link w:val="Heading1"/>
    <w:rsid w:val="00783E9D"/>
    <w:rPr>
      <w:rFonts w:ascii="Times New Roman" w:eastAsia="Times New Roman" w:hAnsi="Times New Roman" w:cs="Times New Roman"/>
      <w:sz w:val="28"/>
      <w:szCs w:val="24"/>
    </w:rPr>
  </w:style>
  <w:style w:type="paragraph" w:styleId="ListParagraph">
    <w:name w:val="List Paragraph"/>
    <w:basedOn w:val="Normal"/>
    <w:uiPriority w:val="99"/>
    <w:qFormat/>
    <w:rsid w:val="00A55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0917">
      <w:bodyDiv w:val="1"/>
      <w:marLeft w:val="0"/>
      <w:marRight w:val="0"/>
      <w:marTop w:val="0"/>
      <w:marBottom w:val="0"/>
      <w:divBdr>
        <w:top w:val="none" w:sz="0" w:space="0" w:color="auto"/>
        <w:left w:val="none" w:sz="0" w:space="0" w:color="auto"/>
        <w:bottom w:val="none" w:sz="0" w:space="0" w:color="auto"/>
        <w:right w:val="none" w:sz="0" w:space="0" w:color="auto"/>
      </w:divBdr>
    </w:div>
    <w:div w:id="6653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Tran Huy</dc:creator>
  <cp:keywords/>
  <dc:description/>
  <cp:lastModifiedBy>Windows User</cp:lastModifiedBy>
  <cp:revision>6</cp:revision>
  <dcterms:created xsi:type="dcterms:W3CDTF">2020-04-11T02:36:00Z</dcterms:created>
  <dcterms:modified xsi:type="dcterms:W3CDTF">2020-04-12T02:55:00Z</dcterms:modified>
</cp:coreProperties>
</file>